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BB1" w:rsidRDefault="00646BB1" w:rsidP="00646BB1">
      <w:pPr>
        <w:shd w:val="solid" w:color="FFFFFF" w:fill="auto"/>
        <w:autoSpaceDN w:val="0"/>
        <w:jc w:val="center"/>
        <w:rPr>
          <w:rFonts w:ascii="方正小标宋简体" w:eastAsia="方正小标宋简体" w:hAnsi="方正小标宋简体"/>
          <w:bCs/>
          <w:color w:val="333333"/>
          <w:sz w:val="36"/>
          <w:shd w:val="clear" w:color="auto" w:fill="FFFFFF"/>
        </w:rPr>
      </w:pPr>
    </w:p>
    <w:p w:rsidR="00646BB1" w:rsidRDefault="00646BB1" w:rsidP="00646BB1">
      <w:pPr>
        <w:shd w:val="solid" w:color="FFFFFF" w:fill="auto"/>
        <w:autoSpaceDN w:val="0"/>
        <w:jc w:val="center"/>
        <w:rPr>
          <w:rFonts w:ascii="方正小标宋简体" w:eastAsia="方正小标宋简体" w:hAnsi="方正小标宋简体"/>
          <w:bCs/>
          <w:color w:val="333333"/>
          <w:sz w:val="36"/>
          <w:shd w:val="clear" w:color="auto" w:fill="FFFFFF"/>
        </w:rPr>
      </w:pPr>
    </w:p>
    <w:p w:rsidR="00646BB1" w:rsidRDefault="00646BB1" w:rsidP="00646BB1">
      <w:pPr>
        <w:shd w:val="solid" w:color="FFFFFF" w:fill="auto"/>
        <w:autoSpaceDN w:val="0"/>
        <w:jc w:val="center"/>
        <w:rPr>
          <w:rFonts w:ascii="方正小标宋简体" w:eastAsia="方正小标宋简体" w:hAnsi="方正小标宋简体" w:hint="eastAsia"/>
          <w:bCs/>
          <w:color w:val="333333"/>
          <w:sz w:val="36"/>
          <w:shd w:val="clear" w:color="auto" w:fill="FFFFFF"/>
        </w:rPr>
      </w:pPr>
      <w:bookmarkStart w:id="0" w:name="_GoBack"/>
      <w:r>
        <w:rPr>
          <w:rFonts w:ascii="方正小标宋简体" w:eastAsia="方正小标宋简体" w:hAnsi="方正小标宋简体" w:hint="eastAsia"/>
          <w:bCs/>
          <w:color w:val="333333"/>
          <w:sz w:val="36"/>
          <w:shd w:val="clear" w:color="auto" w:fill="FFFFFF"/>
        </w:rPr>
        <w:t>青海省城镇土地使用税实施办法</w:t>
      </w:r>
    </w:p>
    <w:bookmarkEnd w:id="0"/>
    <w:p w:rsidR="00646BB1" w:rsidRDefault="00646BB1" w:rsidP="00646BB1">
      <w:pPr>
        <w:shd w:val="solid" w:color="FFFFFF" w:fill="auto"/>
        <w:autoSpaceDN w:val="0"/>
        <w:spacing w:after="150" w:line="480" w:lineRule="atLeast"/>
        <w:ind w:firstLineChars="200" w:firstLine="600"/>
        <w:rPr>
          <w:rFonts w:ascii="仿宋_GB2312" w:eastAsia="仿宋_GB2312" w:hAnsi="仿宋_GB2312" w:hint="eastAsia"/>
          <w:color w:val="414141"/>
          <w:sz w:val="30"/>
          <w:shd w:val="clear" w:color="auto" w:fill="FFFFFF"/>
        </w:rPr>
      </w:pPr>
      <w:r>
        <w:rPr>
          <w:rFonts w:ascii="仿宋_GB2312" w:eastAsia="仿宋_GB2312" w:hAnsi="仿宋_GB2312" w:hint="eastAsia"/>
          <w:color w:val="414141"/>
          <w:sz w:val="30"/>
          <w:shd w:val="clear" w:color="auto" w:fill="FFFFFF"/>
        </w:rPr>
        <w:t>（2007年6月29日</w:t>
      </w:r>
      <w:r>
        <w:rPr>
          <w:rFonts w:ascii="仿宋_GB2312" w:eastAsia="仿宋_GB2312" w:hAnsi="仿宋_GB2312" w:cs="仿宋_GB2312" w:hint="eastAsia"/>
          <w:sz w:val="30"/>
          <w:szCs w:val="30"/>
          <w:shd w:val="clear" w:color="auto" w:fill="FFFFFF"/>
        </w:rPr>
        <w:t>青海</w:t>
      </w:r>
      <w:r>
        <w:rPr>
          <w:rFonts w:ascii="仿宋_GB2312" w:eastAsia="仿宋_GB2312" w:hAnsi="仿宋_GB2312" w:hint="eastAsia"/>
          <w:color w:val="414141"/>
          <w:sz w:val="30"/>
          <w:shd w:val="clear" w:color="auto" w:fill="FFFFFF"/>
        </w:rPr>
        <w:t>省人民政府第66次常务会议审议通过 2007年7月8日省政府令第59号公布 根据2017年11月11日省政府令第118号</w:t>
      </w:r>
      <w:r>
        <w:rPr>
          <w:rFonts w:ascii="仿宋_GB2312" w:eastAsia="仿宋_GB2312" w:hAnsi="仿宋_GB2312"/>
          <w:color w:val="414141"/>
          <w:sz w:val="30"/>
          <w:shd w:val="clear" w:color="auto" w:fill="FFFFFF"/>
        </w:rPr>
        <w:t>《青海省人民政府关于修改和废止部分省政府规章的决定》</w:t>
      </w:r>
      <w:r>
        <w:rPr>
          <w:rFonts w:ascii="仿宋_GB2312" w:eastAsia="仿宋_GB2312" w:hAnsi="仿宋_GB2312" w:hint="eastAsia"/>
          <w:color w:val="414141"/>
          <w:sz w:val="30"/>
          <w:shd w:val="clear" w:color="auto" w:fill="FFFFFF"/>
        </w:rPr>
        <w:t>第一次修订 根据2020年6月12日省政府令第125号《青海省人民政府关于修改和废止部分省政府规章的决定》第二次修订 自2007年7月8日起施行）</w:t>
      </w:r>
    </w:p>
    <w:p w:rsidR="00646BB1" w:rsidRDefault="00646BB1" w:rsidP="00646BB1">
      <w:pPr>
        <w:shd w:val="solid" w:color="FFFFFF" w:fill="auto"/>
        <w:autoSpaceDN w:val="0"/>
        <w:spacing w:after="150" w:line="480" w:lineRule="atLeast"/>
        <w:ind w:firstLineChars="200" w:firstLine="600"/>
        <w:rPr>
          <w:rFonts w:ascii="仿宋_GB2312" w:eastAsia="仿宋_GB2312" w:hAnsi="仿宋_GB2312" w:hint="eastAsia"/>
          <w:color w:val="414141"/>
          <w:sz w:val="30"/>
          <w:shd w:val="clear" w:color="auto" w:fill="FFFFFF"/>
        </w:rPr>
      </w:pP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第一条</w:t>
      </w:r>
      <w:r>
        <w:rPr>
          <w:rFonts w:ascii="仿宋_GB2312" w:eastAsia="仿宋_GB2312" w:hAnsi="仿宋_GB2312" w:hint="eastAsia"/>
          <w:sz w:val="32"/>
          <w:shd w:val="clear" w:color="auto" w:fill="FFFFFF"/>
        </w:rPr>
        <w:t xml:space="preserve">　根据《中华人民共和国城镇土地使用税暂行条例》（以下简称《条例》）的规定，结合本省实际，制定本办法。</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第二条</w:t>
      </w:r>
      <w:r>
        <w:rPr>
          <w:rFonts w:ascii="仿宋_GB2312" w:eastAsia="仿宋_GB2312" w:hAnsi="仿宋_GB2312" w:hint="eastAsia"/>
          <w:sz w:val="32"/>
          <w:shd w:val="clear" w:color="auto" w:fill="FFFFFF"/>
        </w:rPr>
        <w:t xml:space="preserve">　在本省城市、县城、建制镇、工矿区范围内使用土地的单位和个人，为城镇土地使用税（以下简称土地使用税）的纳税人，应当依照《条例》和本办法的规定缴纳土地使用税。</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城市、县城、建制镇的具体征税范围，由市、县人民政府根据依法批准的城市规划和建制镇规划确定。工矿区的具体征税范围，由各州（市）人民政府确定。</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第三条</w:t>
      </w:r>
      <w:r>
        <w:rPr>
          <w:rFonts w:ascii="仿宋_GB2312" w:eastAsia="仿宋_GB2312" w:hAnsi="仿宋_GB2312" w:hint="eastAsia"/>
          <w:sz w:val="32"/>
          <w:shd w:val="clear" w:color="auto" w:fill="FFFFFF"/>
        </w:rPr>
        <w:t xml:space="preserve">　土地使用税以纳税人实际占用的土地面积为计税依据，依照规定税额计算征收。</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lastRenderedPageBreak/>
        <w:t>纳税人或者税务机关对纳税人实际占用土地面积有异议的，以自然资源管理部门组织测量的结果为准。</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第四条</w:t>
      </w:r>
      <w:r>
        <w:rPr>
          <w:rFonts w:ascii="仿宋_GB2312" w:eastAsia="仿宋_GB2312" w:hAnsi="仿宋_GB2312" w:hint="eastAsia"/>
          <w:sz w:val="32"/>
          <w:shd w:val="clear" w:color="auto" w:fill="FFFFFF"/>
        </w:rPr>
        <w:t xml:space="preserve">　土地使用税由土地所在地的税务机关负责征收。</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第五条</w:t>
      </w:r>
      <w:r>
        <w:rPr>
          <w:rFonts w:ascii="仿宋_GB2312" w:eastAsia="仿宋_GB2312" w:hAnsi="仿宋_GB2312" w:hint="eastAsia"/>
          <w:sz w:val="32"/>
          <w:shd w:val="clear" w:color="auto" w:fill="FFFFFF"/>
        </w:rPr>
        <w:t xml:space="preserve">　本省土地使用税适用税额幅度，依照《青海省城镇土地使用税税额表》的规定执行。</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第六条</w:t>
      </w:r>
      <w:r>
        <w:rPr>
          <w:rFonts w:ascii="仿宋_GB2312" w:eastAsia="仿宋_GB2312" w:hAnsi="仿宋_GB2312" w:hint="eastAsia"/>
          <w:sz w:val="32"/>
          <w:shd w:val="clear" w:color="auto" w:fill="FFFFFF"/>
        </w:rPr>
        <w:t xml:space="preserve">　市、县人民政府应当按照《青海省城镇土地使用税税额表》所列土地等级和税额幅度，根据当地市政建设状况、经济繁荣程度等条件，制定适用等级的具体范围和相应的适用税额标准，经州（市）人民政府审核后，报省人民政府批准执行。</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第七条</w:t>
      </w:r>
      <w:r>
        <w:rPr>
          <w:rFonts w:ascii="仿宋_GB2312" w:eastAsia="仿宋_GB2312" w:hAnsi="仿宋_GB2312" w:hint="eastAsia"/>
          <w:sz w:val="32"/>
          <w:shd w:val="clear" w:color="auto" w:fill="FFFFFF"/>
        </w:rPr>
        <w:t xml:space="preserve">　占用下列土地免缴土地使用税：</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（一）《条例》第六条所列土地；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（二）经批准开荒整治的土地和改造的废弃土地，从使用的月份起免缴土地使用税10年；</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（三）法律、行政法规规定免缴土地使用税的其他用地。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第八条</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除《条例》第六条及本办法第七条规定外，纳税人缴纳土地使用税确有困难需要定期减免的，按照税收管理权限由所在地县以上</w:t>
      </w:r>
      <w:r>
        <w:rPr>
          <w:rFonts w:ascii="仿宋_GB2312" w:eastAsia="仿宋_GB2312" w:hAnsi="仿宋_GB2312" w:hint="eastAsia"/>
          <w:sz w:val="32"/>
          <w:shd w:val="clear" w:color="auto" w:fill="FFFFFF"/>
        </w:rPr>
        <w:t>税务机关</w:t>
      </w:r>
      <w:r>
        <w:rPr>
          <w:rFonts w:ascii="仿宋_GB2312" w:eastAsia="仿宋_GB2312" w:hAnsi="仿宋_GB2312"/>
          <w:sz w:val="32"/>
          <w:shd w:val="clear" w:color="auto" w:fill="FFFFFF"/>
        </w:rPr>
        <w:t>审批</w:t>
      </w:r>
      <w:r>
        <w:rPr>
          <w:rFonts w:ascii="仿宋_GB2312" w:eastAsia="仿宋_GB2312" w:hAnsi="仿宋_GB2312" w:hint="eastAsia"/>
          <w:sz w:val="32"/>
          <w:shd w:val="clear" w:color="auto" w:fill="FFFFFF"/>
        </w:rPr>
        <w:t>。</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第九条</w:t>
      </w:r>
      <w:r>
        <w:rPr>
          <w:rFonts w:ascii="仿宋_GB2312" w:eastAsia="仿宋_GB2312" w:hAnsi="仿宋_GB2312" w:hint="eastAsia"/>
          <w:sz w:val="32"/>
          <w:shd w:val="clear" w:color="auto" w:fill="FFFFFF"/>
        </w:rPr>
        <w:t xml:space="preserve">　单位和个人将下列免缴土地使用税的土地用于生产经营或者建房出租的，应当从改变土地用途或者出租土地使用权的次月起缴纳土地使用税：</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（一）国家机关、人民团体、军队自用的土地；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（二）由国家财政部门拨付事业经费的单位自用的土地；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lastRenderedPageBreak/>
        <w:t>（三）宗教寺庙、公园、名胜古迹自用的土地；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（四）市政街道、广场、绿化地带等公共用地；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（五）直接用于农、林、牧、渔业的生产用地；</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（六）由财政部另行规定免税的能源、交通、水利设施用地和其他用地。</w:t>
      </w:r>
    </w:p>
    <w:p w:rsidR="00646BB1" w:rsidRDefault="00646BB1" w:rsidP="00646BB1">
      <w:pPr>
        <w:shd w:val="solid" w:color="FFFFFF" w:fill="auto"/>
        <w:autoSpaceDN w:val="0"/>
        <w:spacing w:line="560" w:lineRule="exact"/>
        <w:ind w:firstLineChars="200" w:firstLine="640"/>
        <w:rPr>
          <w:rFonts w:ascii="仿宋_GB2312" w:eastAsia="仿宋_GB2312" w:hAnsi="仿宋_GB2312"/>
          <w:sz w:val="32"/>
          <w:shd w:val="clear" w:color="auto" w:fill="FFFFFF"/>
        </w:rPr>
      </w:pPr>
      <w:r>
        <w:rPr>
          <w:rFonts w:ascii="黑体" w:eastAsia="黑体" w:hAnsi="黑体" w:hint="eastAsia"/>
          <w:sz w:val="32"/>
          <w:shd w:val="clear" w:color="auto" w:fill="FFFFFF"/>
        </w:rPr>
        <w:t>第十条</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城镇土地使用税按年计算，分月、季、上下半年或按年一次性缴纳。按月缴纳税款的应于税款所属期当月征期内申报缴纳；按季缴纳税款的应分别于３月、６月、９月、</w:t>
      </w:r>
      <w:r>
        <w:rPr>
          <w:rFonts w:ascii="仿宋_GB2312" w:eastAsia="仿宋_GB2312" w:hAnsi="仿宋_GB2312" w:hint="eastAsia"/>
          <w:sz w:val="32"/>
          <w:shd w:val="clear" w:color="auto" w:fill="FFFFFF"/>
        </w:rPr>
        <w:t>12</w:t>
      </w:r>
      <w:r>
        <w:rPr>
          <w:rFonts w:ascii="仿宋_GB2312" w:eastAsia="仿宋_GB2312" w:hAnsi="仿宋_GB2312"/>
          <w:sz w:val="32"/>
          <w:shd w:val="clear" w:color="auto" w:fill="FFFFFF"/>
        </w:rPr>
        <w:t>月征期内申报缴纳；按上下半年缴纳税款的应分别于４月、</w:t>
      </w:r>
      <w:r>
        <w:rPr>
          <w:rFonts w:ascii="仿宋_GB2312" w:eastAsia="仿宋_GB2312" w:hAnsi="仿宋_GB2312" w:hint="eastAsia"/>
          <w:sz w:val="32"/>
          <w:shd w:val="clear" w:color="auto" w:fill="FFFFFF"/>
        </w:rPr>
        <w:t>10</w:t>
      </w:r>
      <w:r>
        <w:rPr>
          <w:rFonts w:ascii="仿宋_GB2312" w:eastAsia="仿宋_GB2312" w:hAnsi="仿宋_GB2312"/>
          <w:sz w:val="32"/>
          <w:shd w:val="clear" w:color="auto" w:fill="FFFFFF"/>
        </w:rPr>
        <w:t>月征期内申报缴纳；按年一次性缴纳税款的可在税款所属期当年任何月份征期内申报缴纳。</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第十一条</w:t>
      </w:r>
      <w:r>
        <w:rPr>
          <w:rFonts w:ascii="仿宋_GB2312" w:eastAsia="仿宋_GB2312" w:hAnsi="仿宋_GB2312" w:hint="eastAsia"/>
          <w:sz w:val="32"/>
          <w:shd w:val="clear" w:color="auto" w:fill="FFFFFF"/>
        </w:rPr>
        <w:t xml:space="preserve">　纳税人应当在税务机关规定的期限内，将实际占用土地的权属、位置、面积、用途等情况，如实向所在地的税务机关申报。新征用的土地和纳税人住址变更、土地使用权发生变动的申报期限为30日。</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t>自然资源管理部门应当及时向土地所在地的税务机关提供土地权属变更、实际占用土地面积等相关信息资料，配合税务机关做好土地使用税的征管工作。</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第十二条</w:t>
      </w:r>
      <w:r>
        <w:rPr>
          <w:rFonts w:ascii="仿宋_GB2312" w:eastAsia="仿宋_GB2312" w:hAnsi="仿宋_GB2312" w:hint="eastAsia"/>
          <w:sz w:val="32"/>
          <w:shd w:val="clear" w:color="auto" w:fill="FFFFFF"/>
        </w:rPr>
        <w:t xml:space="preserve">　土地使用税的征收管理，依照《中华人民共和国税收征收管理法》、《条例》及本办法的规定执行。</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黑体" w:eastAsia="黑体" w:hAnsi="黑体" w:hint="eastAsia"/>
          <w:sz w:val="32"/>
          <w:shd w:val="clear" w:color="auto" w:fill="FFFFFF"/>
        </w:rPr>
        <w:t>第十三条</w:t>
      </w:r>
      <w:r>
        <w:rPr>
          <w:rFonts w:ascii="仿宋_GB2312" w:eastAsia="仿宋_GB2312" w:hAnsi="仿宋_GB2312" w:hint="eastAsia"/>
          <w:sz w:val="32"/>
          <w:shd w:val="clear" w:color="auto" w:fill="FFFFFF"/>
        </w:rPr>
        <w:t xml:space="preserve">　本办法自公布之日起施行，1989年5月25日省人民政府发布的《青海省城镇土地使用税实施细则》同时废止。</w:t>
      </w:r>
    </w:p>
    <w:p w:rsidR="00646BB1" w:rsidRDefault="00646BB1" w:rsidP="00646BB1">
      <w:pPr>
        <w:shd w:val="solid" w:color="FFFFFF" w:fill="auto"/>
        <w:autoSpaceDN w:val="0"/>
        <w:spacing w:line="560" w:lineRule="exact"/>
        <w:ind w:firstLineChars="200" w:firstLine="640"/>
        <w:rPr>
          <w:rFonts w:ascii="仿宋_GB2312" w:eastAsia="仿宋_GB2312" w:hAnsi="仿宋_GB2312" w:hint="eastAsia"/>
          <w:sz w:val="32"/>
          <w:shd w:val="clear" w:color="auto" w:fill="FFFFFF"/>
        </w:rPr>
      </w:pPr>
      <w:r>
        <w:rPr>
          <w:rFonts w:ascii="仿宋_GB2312" w:eastAsia="仿宋_GB2312" w:hAnsi="仿宋_GB2312" w:hint="eastAsia"/>
          <w:sz w:val="32"/>
          <w:shd w:val="clear" w:color="auto" w:fill="FFFFFF"/>
        </w:rPr>
        <w:lastRenderedPageBreak/>
        <w:t>附件：青海省城镇土地使用税税额表</w:t>
      </w:r>
    </w:p>
    <w:p w:rsidR="00646BB1" w:rsidRDefault="00646BB1" w:rsidP="00646BB1">
      <w:pPr>
        <w:shd w:val="solid" w:color="FFFFFF" w:fill="auto"/>
        <w:autoSpaceDN w:val="0"/>
        <w:spacing w:after="150" w:line="560" w:lineRule="exact"/>
        <w:ind w:firstLineChars="200" w:firstLine="640"/>
        <w:rPr>
          <w:rFonts w:ascii="仿宋_GB2312" w:eastAsia="仿宋_GB2312" w:hAnsi="仿宋_GB2312" w:hint="eastAsia"/>
          <w:color w:val="414141"/>
          <w:sz w:val="32"/>
          <w:shd w:val="clear" w:color="auto" w:fill="FFFFFF"/>
        </w:rPr>
      </w:pPr>
    </w:p>
    <w:p w:rsidR="00646BB1" w:rsidRDefault="00646BB1" w:rsidP="00646BB1">
      <w:pPr>
        <w:shd w:val="solid" w:color="FFFFFF" w:fill="auto"/>
        <w:autoSpaceDN w:val="0"/>
        <w:spacing w:after="150" w:line="560" w:lineRule="exact"/>
        <w:ind w:firstLineChars="200" w:firstLine="640"/>
        <w:rPr>
          <w:rFonts w:ascii="仿宋_GB2312" w:eastAsia="仿宋_GB2312" w:hAnsi="仿宋_GB2312" w:hint="eastAsia"/>
          <w:color w:val="414141"/>
          <w:sz w:val="32"/>
          <w:shd w:val="clear" w:color="auto" w:fill="FFFFFF"/>
        </w:rPr>
      </w:pPr>
    </w:p>
    <w:p w:rsidR="00646BB1" w:rsidRDefault="00646BB1" w:rsidP="00646BB1">
      <w:pPr>
        <w:shd w:val="solid" w:color="FFFFFF" w:fill="auto"/>
        <w:autoSpaceDN w:val="0"/>
        <w:spacing w:after="150" w:line="560" w:lineRule="exact"/>
        <w:ind w:firstLineChars="200" w:firstLine="640"/>
        <w:rPr>
          <w:rFonts w:ascii="仿宋_GB2312" w:eastAsia="仿宋_GB2312" w:hAnsi="仿宋_GB2312" w:hint="eastAsia"/>
          <w:color w:val="414141"/>
          <w:sz w:val="32"/>
          <w:shd w:val="clear" w:color="auto" w:fill="FFFFFF"/>
        </w:rPr>
      </w:pPr>
    </w:p>
    <w:p w:rsidR="00646BB1" w:rsidRDefault="00646BB1" w:rsidP="00646BB1">
      <w:pPr>
        <w:shd w:val="solid" w:color="FFFFFF" w:fill="auto"/>
        <w:autoSpaceDN w:val="0"/>
        <w:spacing w:after="150" w:line="560" w:lineRule="exact"/>
        <w:ind w:firstLineChars="200" w:firstLine="640"/>
        <w:rPr>
          <w:rFonts w:ascii="仿宋_GB2312" w:eastAsia="仿宋_GB2312" w:hAnsi="仿宋_GB2312" w:hint="eastAsia"/>
          <w:color w:val="414141"/>
          <w:sz w:val="32"/>
          <w:shd w:val="clear" w:color="auto" w:fill="FFFFFF"/>
        </w:rPr>
      </w:pPr>
    </w:p>
    <w:p w:rsidR="00646BB1" w:rsidRDefault="00646BB1" w:rsidP="00646BB1">
      <w:pPr>
        <w:rPr>
          <w:rFonts w:ascii="黑体" w:eastAsia="黑体" w:hAnsi="黑体"/>
          <w:sz w:val="32"/>
          <w:szCs w:val="32"/>
        </w:rPr>
      </w:pPr>
      <w:r>
        <w:rPr>
          <w:rFonts w:ascii="黑体" w:eastAsia="黑体" w:hAnsi="黑体" w:hint="eastAsia"/>
          <w:sz w:val="32"/>
          <w:szCs w:val="32"/>
        </w:rPr>
        <w:t>附件:</w:t>
      </w:r>
    </w:p>
    <w:p w:rsidR="00646BB1" w:rsidRDefault="00646BB1" w:rsidP="00646BB1">
      <w:pPr>
        <w:jc w:val="center"/>
        <w:rPr>
          <w:rFonts w:ascii="华文中宋" w:eastAsia="华文中宋" w:hAnsi="华文中宋"/>
          <w:b/>
          <w:sz w:val="36"/>
          <w:szCs w:val="36"/>
        </w:rPr>
      </w:pPr>
      <w:r>
        <w:rPr>
          <w:rFonts w:ascii="华文中宋" w:eastAsia="华文中宋" w:hAnsi="华文中宋" w:hint="eastAsia"/>
          <w:b/>
          <w:sz w:val="36"/>
          <w:szCs w:val="36"/>
        </w:rPr>
        <w:t>青海省城镇土地使用税税额表</w:t>
      </w:r>
    </w:p>
    <w:p w:rsidR="00646BB1" w:rsidRDefault="00646BB1" w:rsidP="00646BB1">
      <w:pPr>
        <w:jc w:val="right"/>
        <w:rPr>
          <w:rFonts w:ascii="仿宋_GB2312" w:eastAsia="仿宋_GB2312" w:hAnsi="华文中宋"/>
          <w:sz w:val="32"/>
          <w:szCs w:val="32"/>
        </w:rPr>
      </w:pPr>
      <w:r>
        <w:rPr>
          <w:rFonts w:ascii="仿宋_GB2312" w:eastAsia="仿宋_GB2312" w:hAnsi="华文中宋" w:hint="eastAsia"/>
          <w:sz w:val="32"/>
          <w:szCs w:val="32"/>
        </w:rPr>
        <w:t>单位:元/平方米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777"/>
        <w:gridCol w:w="2070"/>
        <w:gridCol w:w="1875"/>
      </w:tblGrid>
      <w:tr w:rsidR="00646BB1" w:rsidTr="00FD7150">
        <w:tc>
          <w:tcPr>
            <w:tcW w:w="4851" w:type="dxa"/>
            <w:gridSpan w:val="2"/>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地    区</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土地等级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税额幅度</w:t>
            </w:r>
          </w:p>
        </w:tc>
      </w:tr>
      <w:tr w:rsidR="00646BB1" w:rsidTr="00FD7150">
        <w:tc>
          <w:tcPr>
            <w:tcW w:w="2074" w:type="dxa"/>
            <w:vMerge w:val="restart"/>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西宁市</w:t>
            </w:r>
          </w:p>
        </w:tc>
        <w:tc>
          <w:tcPr>
            <w:tcW w:w="2777" w:type="dxa"/>
            <w:vMerge w:val="restart"/>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市区、建制镇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10-20</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8-18</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三级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5-16</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四级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3-12</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五级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1.5-10</w:t>
            </w:r>
          </w:p>
        </w:tc>
      </w:tr>
      <w:tr w:rsidR="00646BB1" w:rsidTr="00FD7150">
        <w:tc>
          <w:tcPr>
            <w:tcW w:w="2074" w:type="dxa"/>
            <w:vMerge w:val="restart"/>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格尔木市</w:t>
            </w:r>
          </w:p>
        </w:tc>
        <w:tc>
          <w:tcPr>
            <w:tcW w:w="2777" w:type="dxa"/>
            <w:vMerge w:val="restart"/>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市区、建制镇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4-12</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2-10</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三级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0.63-8</w:t>
            </w:r>
          </w:p>
        </w:tc>
      </w:tr>
      <w:tr w:rsidR="00646BB1" w:rsidTr="00FD7150">
        <w:tc>
          <w:tcPr>
            <w:tcW w:w="2074" w:type="dxa"/>
            <w:vMerge w:val="restart"/>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德令哈市</w:t>
            </w:r>
          </w:p>
        </w:tc>
        <w:tc>
          <w:tcPr>
            <w:tcW w:w="2777" w:type="dxa"/>
            <w:vMerge w:val="restart"/>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市区、建制镇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3-10</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2-8</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vMerge/>
          </w:tcPr>
          <w:p w:rsidR="00646BB1" w:rsidRDefault="00646BB1" w:rsidP="00FD7150">
            <w:pPr>
              <w:rPr>
                <w:rFonts w:ascii="仿宋_GB2312" w:eastAsia="仿宋_GB2312" w:hAnsi="华文中宋" w:hint="eastAsia"/>
                <w:sz w:val="32"/>
                <w:szCs w:val="32"/>
              </w:rPr>
            </w:pP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三级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0.63-6</w:t>
            </w:r>
          </w:p>
        </w:tc>
      </w:tr>
      <w:tr w:rsidR="00646BB1" w:rsidTr="00FD7150">
        <w:trPr>
          <w:trHeight w:val="989"/>
        </w:trPr>
        <w:tc>
          <w:tcPr>
            <w:tcW w:w="2074" w:type="dxa"/>
            <w:vMerge w:val="restart"/>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大通、湟中、平安、乐都、民和、互助</w:t>
            </w: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县城</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1-5</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0.6-3</w:t>
            </w:r>
          </w:p>
        </w:tc>
      </w:tr>
      <w:tr w:rsidR="00646BB1" w:rsidTr="00FD7150">
        <w:trPr>
          <w:trHeight w:val="1274"/>
        </w:trPr>
        <w:tc>
          <w:tcPr>
            <w:tcW w:w="2074" w:type="dxa"/>
            <w:vMerge w:val="restart"/>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共和、循化、湟源、同仁、贵德、尖扎、化隆、门源</w:t>
            </w: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县城、西海镇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1-3</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0.6-2</w:t>
            </w:r>
          </w:p>
        </w:tc>
      </w:tr>
      <w:tr w:rsidR="00646BB1" w:rsidTr="00FD7150">
        <w:trPr>
          <w:trHeight w:val="1964"/>
        </w:trPr>
        <w:tc>
          <w:tcPr>
            <w:tcW w:w="2074" w:type="dxa"/>
            <w:vMerge w:val="restart"/>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大柴旦、乌兰、都兰、海晏、兴海、贵南、同德、刚察、祁连、玉树、玛沁、茫崖</w:t>
            </w: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县城</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0.42-2</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0.42-1</w:t>
            </w:r>
          </w:p>
        </w:tc>
      </w:tr>
      <w:tr w:rsidR="00646BB1" w:rsidTr="00FD7150">
        <w:trPr>
          <w:trHeight w:val="2579"/>
        </w:trPr>
        <w:tc>
          <w:tcPr>
            <w:tcW w:w="2074" w:type="dxa"/>
            <w:vMerge w:val="restart"/>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天峻、泽库、河南、冷湖、秤多、曲麻莱、治多、杂</w:t>
            </w:r>
            <w:r>
              <w:rPr>
                <w:rFonts w:ascii="仿宋_GB2312" w:eastAsia="仿宋_GB2312" w:hAnsi="华文中宋" w:hint="eastAsia"/>
                <w:sz w:val="32"/>
                <w:szCs w:val="32"/>
              </w:rPr>
              <w:lastRenderedPageBreak/>
              <w:t>多、囊欠、玛多、甘德、达日、久治、班玛</w:t>
            </w: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lastRenderedPageBreak/>
              <w:t>县城</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一级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0.42-2</w:t>
            </w:r>
          </w:p>
        </w:tc>
      </w:tr>
      <w:tr w:rsidR="00646BB1" w:rsidTr="00FD7150">
        <w:tc>
          <w:tcPr>
            <w:tcW w:w="2074" w:type="dxa"/>
            <w:vMerge/>
          </w:tcPr>
          <w:p w:rsidR="00646BB1" w:rsidRDefault="00646BB1" w:rsidP="00FD7150">
            <w:pPr>
              <w:rPr>
                <w:rFonts w:ascii="仿宋_GB2312" w:eastAsia="仿宋_GB2312" w:hAnsi="华文中宋" w:hint="eastAsia"/>
                <w:sz w:val="32"/>
                <w:szCs w:val="32"/>
              </w:rPr>
            </w:pPr>
          </w:p>
        </w:tc>
        <w:tc>
          <w:tcPr>
            <w:tcW w:w="2777" w:type="dxa"/>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建制镇</w:t>
            </w:r>
          </w:p>
        </w:tc>
        <w:tc>
          <w:tcPr>
            <w:tcW w:w="2070"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二级</w:t>
            </w: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0.42-1</w:t>
            </w:r>
          </w:p>
        </w:tc>
      </w:tr>
      <w:tr w:rsidR="00646BB1" w:rsidTr="00FD7150">
        <w:tc>
          <w:tcPr>
            <w:tcW w:w="4851" w:type="dxa"/>
            <w:gridSpan w:val="2"/>
          </w:tcPr>
          <w:p w:rsidR="00646BB1" w:rsidRDefault="00646BB1" w:rsidP="00FD7150">
            <w:pPr>
              <w:jc w:val="center"/>
              <w:rPr>
                <w:rFonts w:ascii="仿宋_GB2312" w:eastAsia="仿宋_GB2312" w:hAnsi="华文中宋" w:hint="eastAsia"/>
                <w:sz w:val="32"/>
                <w:szCs w:val="32"/>
              </w:rPr>
            </w:pPr>
            <w:r>
              <w:rPr>
                <w:rFonts w:ascii="仿宋_GB2312" w:eastAsia="仿宋_GB2312" w:hAnsi="华文中宋" w:hint="eastAsia"/>
                <w:sz w:val="32"/>
                <w:szCs w:val="32"/>
              </w:rPr>
              <w:t>工矿区</w:t>
            </w:r>
          </w:p>
        </w:tc>
        <w:tc>
          <w:tcPr>
            <w:tcW w:w="2070" w:type="dxa"/>
          </w:tcPr>
          <w:p w:rsidR="00646BB1" w:rsidRDefault="00646BB1" w:rsidP="00FD7150">
            <w:pPr>
              <w:rPr>
                <w:rFonts w:ascii="仿宋_GB2312" w:eastAsia="仿宋_GB2312" w:hAnsi="华文中宋" w:hint="eastAsia"/>
                <w:sz w:val="32"/>
                <w:szCs w:val="32"/>
              </w:rPr>
            </w:pPr>
          </w:p>
        </w:tc>
        <w:tc>
          <w:tcPr>
            <w:tcW w:w="1875" w:type="dxa"/>
          </w:tcPr>
          <w:p w:rsidR="00646BB1" w:rsidRDefault="00646BB1" w:rsidP="00FD7150">
            <w:pPr>
              <w:rPr>
                <w:rFonts w:ascii="仿宋_GB2312" w:eastAsia="仿宋_GB2312" w:hAnsi="华文中宋" w:hint="eastAsia"/>
                <w:sz w:val="32"/>
                <w:szCs w:val="32"/>
              </w:rPr>
            </w:pPr>
            <w:r>
              <w:rPr>
                <w:rFonts w:ascii="仿宋_GB2312" w:eastAsia="仿宋_GB2312" w:hAnsi="华文中宋" w:hint="eastAsia"/>
                <w:sz w:val="32"/>
                <w:szCs w:val="32"/>
              </w:rPr>
              <w:t>0.42-8</w:t>
            </w:r>
          </w:p>
        </w:tc>
      </w:tr>
    </w:tbl>
    <w:p w:rsidR="00646BB1" w:rsidRDefault="00646BB1" w:rsidP="00646BB1">
      <w:pPr>
        <w:rPr>
          <w:rFonts w:ascii="仿宋_GB2312" w:eastAsia="仿宋_GB2312" w:hAnsi="华文中宋" w:hint="eastAsia"/>
          <w:sz w:val="32"/>
          <w:szCs w:val="32"/>
        </w:rPr>
      </w:pPr>
    </w:p>
    <w:p w:rsidR="00646BB1" w:rsidRDefault="00646BB1" w:rsidP="00646BB1">
      <w:pPr>
        <w:shd w:val="solid" w:color="FFFFFF" w:fill="auto"/>
        <w:autoSpaceDN w:val="0"/>
        <w:spacing w:after="150" w:line="560" w:lineRule="exact"/>
        <w:ind w:firstLineChars="200" w:firstLine="640"/>
        <w:rPr>
          <w:rFonts w:ascii="仿宋_GB2312" w:eastAsia="仿宋_GB2312" w:hAnsi="仿宋_GB2312" w:hint="eastAsia"/>
          <w:color w:val="414141"/>
          <w:sz w:val="32"/>
          <w:shd w:val="clear" w:color="auto" w:fill="FFFFFF"/>
        </w:rPr>
      </w:pPr>
    </w:p>
    <w:p w:rsidR="00646BB1" w:rsidRDefault="00646BB1" w:rsidP="00646BB1"/>
    <w:p w:rsidR="00EA3495" w:rsidRPr="00A76298"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A76298">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2F6" w:rsidRDefault="00A062F6">
      <w:r>
        <w:separator/>
      </w:r>
    </w:p>
  </w:endnote>
  <w:endnote w:type="continuationSeparator" w:id="0">
    <w:p w:rsidR="00A062F6" w:rsidRDefault="00A0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679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76E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 xml:space="preserve">省人民政府发布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2F6" w:rsidRDefault="00A062F6">
      <w:r>
        <w:separator/>
      </w:r>
    </w:p>
  </w:footnote>
  <w:footnote w:type="continuationSeparator" w:id="0">
    <w:p w:rsidR="00A062F6" w:rsidRDefault="00A0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0CF9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679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chineseCounting"/>
      <w:suff w:val="nothing"/>
      <w:lvlText w:val="第%1章"/>
      <w:lvlJc w:val="left"/>
    </w:lvl>
  </w:abstractNum>
  <w:abstractNum w:abstractNumId="1" w15:restartNumberingAfterBreak="0">
    <w:nsid w:val="00000009"/>
    <w:multiLevelType w:val="singleLevel"/>
    <w:tmpl w:val="00000009"/>
    <w:lvl w:ilvl="0">
      <w:start w:val="3"/>
      <w:numFmt w:val="chineseCounting"/>
      <w:suff w:val="nothing"/>
      <w:lvlText w:val="第%1章"/>
      <w:lvlJc w:val="left"/>
    </w:lvl>
  </w:abstractNum>
  <w:abstractNum w:abstractNumId="2" w15:restartNumberingAfterBreak="0">
    <w:nsid w:val="0000000A"/>
    <w:multiLevelType w:val="singleLevel"/>
    <w:tmpl w:val="0000000A"/>
    <w:lvl w:ilvl="0">
      <w:start w:val="1"/>
      <w:numFmt w:val="chineseCounting"/>
      <w:suff w:val="nothing"/>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E1C11"/>
    <w:rsid w:val="0059116C"/>
    <w:rsid w:val="005B6536"/>
    <w:rsid w:val="00646BB1"/>
    <w:rsid w:val="00787CA4"/>
    <w:rsid w:val="007A491B"/>
    <w:rsid w:val="008A65DB"/>
    <w:rsid w:val="00A062F6"/>
    <w:rsid w:val="00A36D17"/>
    <w:rsid w:val="00A76298"/>
    <w:rsid w:val="00B96792"/>
    <w:rsid w:val="00CB3BC4"/>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0D90"/>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2021-12-23T08:36:00Z</dcterms:created>
  <dcterms:modified xsi:type="dcterms:W3CDTF">2021-12-23T08:36:00Z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